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7B" w:rsidRDefault="00DA707B" w:rsidP="00C67753">
      <w:pPr>
        <w:tabs>
          <w:tab w:val="left" w:pos="396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КРАСНОЯРСКИЙ КРАЙ</w:t>
      </w: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ГОРОДСКОЙ ОКРУГ ГОРОД БОРОДИНО КРАСНОЯРСКОГО КРАЯ</w:t>
      </w: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АДМИНИСТРАЦИЯ ГОРОДА БОРОДИНО</w:t>
      </w:r>
    </w:p>
    <w:p w:rsidR="008A271A" w:rsidRPr="001D6265" w:rsidRDefault="008A271A" w:rsidP="008A271A">
      <w:pPr>
        <w:tabs>
          <w:tab w:val="left" w:pos="6450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</w:p>
    <w:p w:rsidR="008A271A" w:rsidRPr="001D6265" w:rsidRDefault="008A271A" w:rsidP="008A271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</w:rPr>
      </w:pPr>
      <w:r w:rsidRPr="001D6265">
        <w:rPr>
          <w:rFonts w:ascii="Arial" w:eastAsia="Times New Roman" w:hAnsi="Arial" w:cs="Arial"/>
          <w:b/>
          <w:bCs/>
          <w:kern w:val="1"/>
          <w:sz w:val="24"/>
          <w:szCs w:val="24"/>
        </w:rPr>
        <w:t>ПОСТАНОВЛЕНИЕ</w:t>
      </w:r>
      <w:r w:rsidRPr="001D6265">
        <w:rPr>
          <w:rFonts w:ascii="Arial" w:eastAsia="Times New Roman" w:hAnsi="Arial" w:cs="Arial"/>
          <w:kern w:val="1"/>
          <w:sz w:val="24"/>
          <w:szCs w:val="24"/>
        </w:rPr>
        <w:t> </w:t>
      </w:r>
    </w:p>
    <w:p w:rsidR="008A271A" w:rsidRPr="001D6265" w:rsidRDefault="008A271A" w:rsidP="008A271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</w:rPr>
      </w:pPr>
    </w:p>
    <w:p w:rsidR="008A271A" w:rsidRPr="001D6265" w:rsidRDefault="00524CE0" w:rsidP="00524CE0">
      <w:pPr>
        <w:shd w:val="clear" w:color="auto" w:fill="FFFFFF"/>
        <w:tabs>
          <w:tab w:val="left" w:pos="3969"/>
        </w:tabs>
        <w:suppressAutoHyphens/>
        <w:spacing w:after="0" w:line="240" w:lineRule="auto"/>
        <w:rPr>
          <w:rFonts w:ascii="Symbol" w:eastAsia="Times New Roman" w:hAnsi="Symbol" w:cs="Arial"/>
          <w:bCs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16.01.2024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 w:rsidR="008A271A" w:rsidRPr="001D6265">
        <w:rPr>
          <w:rFonts w:ascii="Arial" w:eastAsia="Times New Roman" w:hAnsi="Arial" w:cs="Arial"/>
          <w:bCs/>
          <w:kern w:val="1"/>
          <w:sz w:val="24"/>
          <w:szCs w:val="24"/>
        </w:rPr>
        <w:t>г. Бородино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  <w:t>№ 20</w:t>
      </w:r>
    </w:p>
    <w:p w:rsidR="008A271A" w:rsidRPr="001D6265" w:rsidRDefault="008A271A" w:rsidP="008A27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8A271A" w:rsidRPr="001D6265" w:rsidRDefault="008A271A" w:rsidP="008A27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1D6265">
        <w:rPr>
          <w:rFonts w:ascii="Times New Roman" w:eastAsia="Times New Roman" w:hAnsi="Times New Roman" w:cs="Times New Roman"/>
          <w:color w:val="FF0000"/>
          <w:kern w:val="1"/>
          <w:lang w:eastAsia="zh-CN"/>
        </w:rPr>
        <w:t>[МЕСТО ДЛЯ ШТАМПА]</w:t>
      </w:r>
    </w:p>
    <w:p w:rsidR="008A271A" w:rsidRPr="001D6265" w:rsidRDefault="008A271A" w:rsidP="008A271A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color w:val="000000"/>
          <w:sz w:val="24"/>
          <w:lang w:eastAsia="ar-SA"/>
        </w:rPr>
        <w:t xml:space="preserve"> </w:t>
      </w:r>
    </w:p>
    <w:p w:rsidR="008A271A" w:rsidRPr="001D6265" w:rsidRDefault="008A271A" w:rsidP="008A271A">
      <w:pPr>
        <w:suppressAutoHyphens/>
        <w:spacing w:after="0" w:line="240" w:lineRule="auto"/>
        <w:ind w:right="-5"/>
        <w:jc w:val="both"/>
        <w:rPr>
          <w:rFonts w:ascii="Arial" w:eastAsia="Calibri" w:hAnsi="Arial" w:cs="Arial"/>
          <w:color w:val="auto"/>
          <w:sz w:val="24"/>
          <w:lang w:eastAsia="ar-SA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8A271A" w:rsidRPr="008B2B97" w:rsidTr="008A271A">
        <w:tc>
          <w:tcPr>
            <w:tcW w:w="9606" w:type="dxa"/>
            <w:vMerge w:val="restart"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8A271A" w:rsidRPr="008B2B97" w:rsidRDefault="008A271A" w:rsidP="008A271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271A" w:rsidRPr="008B2B97" w:rsidTr="008A271A">
        <w:tc>
          <w:tcPr>
            <w:tcW w:w="9606" w:type="dxa"/>
            <w:vMerge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A271A" w:rsidRPr="008B2B97" w:rsidRDefault="008A271A" w:rsidP="008A271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A271A" w:rsidRPr="008B2B97" w:rsidRDefault="008A271A" w:rsidP="00C04303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8B2B97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>
        <w:rPr>
          <w:rFonts w:ascii="Arial" w:hAnsi="Arial" w:cs="Arial"/>
        </w:rPr>
        <w:t>, их формировании и реализации»,</w:t>
      </w:r>
      <w:r w:rsidRPr="008B2B97">
        <w:rPr>
          <w:rFonts w:ascii="Arial" w:hAnsi="Arial" w:cs="Arial"/>
        </w:rPr>
        <w:t xml:space="preserve"> распоряжени</w:t>
      </w:r>
      <w:r>
        <w:rPr>
          <w:rFonts w:ascii="Arial" w:hAnsi="Arial" w:cs="Arial"/>
        </w:rPr>
        <w:t>ем</w:t>
      </w:r>
      <w:r w:rsidRPr="008B2B97">
        <w:rPr>
          <w:rFonts w:ascii="Arial" w:hAnsi="Arial" w:cs="Arial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>
        <w:rPr>
          <w:rFonts w:ascii="Arial" w:hAnsi="Arial" w:cs="Arial"/>
        </w:rPr>
        <w:t>м</w:t>
      </w:r>
      <w:r w:rsidRPr="008B2B97">
        <w:rPr>
          <w:rFonts w:ascii="Arial" w:hAnsi="Arial" w:cs="Arial"/>
        </w:rPr>
        <w:t xml:space="preserve"> администрации города Бородино от </w:t>
      </w:r>
      <w:r>
        <w:rPr>
          <w:rFonts w:ascii="Arial" w:hAnsi="Arial" w:cs="Arial"/>
        </w:rPr>
        <w:t xml:space="preserve">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</w:t>
      </w:r>
      <w:r w:rsidR="00306CCC">
        <w:rPr>
          <w:rFonts w:ascii="Arial" w:hAnsi="Arial" w:cs="Arial"/>
        </w:rPr>
        <w:t xml:space="preserve">решением </w:t>
      </w:r>
      <w:r w:rsidR="00306CCC" w:rsidRPr="00C67753">
        <w:rPr>
          <w:rFonts w:ascii="Arial" w:hAnsi="Arial" w:cs="Arial"/>
        </w:rPr>
        <w:t>Бородинского городского Совета депутатов</w:t>
      </w:r>
      <w:r w:rsidR="00306CCC" w:rsidRPr="00306CCC">
        <w:rPr>
          <w:rFonts w:ascii="Arial" w:eastAsia="Times New Roman" w:hAnsi="Arial" w:cs="Arial"/>
          <w:color w:val="auto"/>
        </w:rPr>
        <w:t xml:space="preserve"> </w:t>
      </w:r>
      <w:r w:rsidR="00306CCC">
        <w:rPr>
          <w:rFonts w:ascii="Arial" w:eastAsia="Times New Roman" w:hAnsi="Arial" w:cs="Arial"/>
          <w:color w:val="auto"/>
        </w:rPr>
        <w:t xml:space="preserve">от 19.12.2023 г. </w:t>
      </w:r>
      <w:r w:rsidR="00306CCC" w:rsidRPr="00306CCC">
        <w:rPr>
          <w:rFonts w:ascii="Arial" w:eastAsia="Times New Roman" w:hAnsi="Arial" w:cs="Arial"/>
          <w:color w:val="auto"/>
        </w:rPr>
        <w:t xml:space="preserve">№ 28-278р </w:t>
      </w:r>
      <w:r w:rsidR="00306CCC">
        <w:rPr>
          <w:rFonts w:ascii="Arial" w:eastAsia="Times New Roman" w:hAnsi="Arial" w:cs="Arial"/>
          <w:color w:val="auto"/>
        </w:rPr>
        <w:t>«</w:t>
      </w:r>
      <w:r w:rsidR="00306CCC" w:rsidRPr="00306CCC">
        <w:rPr>
          <w:rFonts w:ascii="Arial" w:eastAsia="Times New Roman" w:hAnsi="Arial" w:cs="Arial"/>
          <w:color w:val="auto"/>
        </w:rPr>
        <w:t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</w:t>
      </w:r>
      <w:r w:rsidR="00306CCC">
        <w:rPr>
          <w:rFonts w:ascii="Arial" w:eastAsia="Times New Roman" w:hAnsi="Arial" w:cs="Arial"/>
          <w:color w:val="auto"/>
        </w:rPr>
        <w:t xml:space="preserve">, </w:t>
      </w:r>
      <w:r>
        <w:rPr>
          <w:rFonts w:ascii="Arial" w:hAnsi="Arial" w:cs="Arial"/>
        </w:rPr>
        <w:t xml:space="preserve">на основании Устава города </w:t>
      </w:r>
      <w:r w:rsidRPr="008B2B97">
        <w:rPr>
          <w:rFonts w:ascii="Arial" w:hAnsi="Arial" w:cs="Arial"/>
        </w:rPr>
        <w:t>Бородино ПОСТАНОВЛЯЮ:</w:t>
      </w:r>
    </w:p>
    <w:p w:rsidR="008A271A" w:rsidRPr="008B45BB" w:rsidRDefault="008A271A" w:rsidP="008A271A">
      <w:pPr>
        <w:pStyle w:val="ConsPlusNormal"/>
        <w:widowControl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8B45BB">
        <w:rPr>
          <w:color w:val="000000"/>
          <w:sz w:val="24"/>
          <w:szCs w:val="24"/>
          <w:shd w:val="clear" w:color="auto" w:fill="FFFFFF"/>
        </w:rPr>
        <w:t xml:space="preserve">1. Приложения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изложить в новой редакции. </w:t>
      </w:r>
    </w:p>
    <w:p w:rsidR="008F71D1" w:rsidRDefault="008A271A" w:rsidP="008A271A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B45BB">
        <w:rPr>
          <w:color w:val="000000"/>
          <w:sz w:val="24"/>
          <w:szCs w:val="24"/>
          <w:shd w:val="clear" w:color="auto" w:fill="FFFFFF"/>
        </w:rPr>
        <w:t xml:space="preserve">2. Контроль за исполнением настоящего постановления возложить на заместителя Главы города Бородино по общественно-политической работе О.А. Иванину. </w:t>
      </w:r>
    </w:p>
    <w:p w:rsidR="008A271A" w:rsidRPr="008B45BB" w:rsidRDefault="008A271A" w:rsidP="008A271A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B45BB">
        <w:rPr>
          <w:color w:val="000000"/>
          <w:sz w:val="24"/>
          <w:szCs w:val="24"/>
          <w:shd w:val="clear" w:color="auto" w:fill="FFFFFF"/>
        </w:rPr>
        <w:t xml:space="preserve">3. Постановление подлежит опубликованию в газете «Бородинский вестник» и на официальном сайте городского округа города Бородино Красноярского края. </w:t>
      </w:r>
    </w:p>
    <w:p w:rsidR="008A271A" w:rsidRPr="008B45BB" w:rsidRDefault="008A271A" w:rsidP="008A271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45BB">
        <w:rPr>
          <w:color w:val="000000"/>
          <w:sz w:val="24"/>
          <w:szCs w:val="24"/>
          <w:shd w:val="clear" w:color="auto" w:fill="FFFFFF"/>
        </w:rPr>
        <w:t>4. Постановление вступает в силу не ранее дня, следующего за днем его официального опубликования.</w:t>
      </w:r>
    </w:p>
    <w:p w:rsidR="00AF7F39" w:rsidRPr="008B2B97" w:rsidRDefault="00AF7F39" w:rsidP="008A271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271A" w:rsidRPr="008B2B97" w:rsidRDefault="0092462D" w:rsidP="008A271A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8A271A" w:rsidRPr="008B2B9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A271A" w:rsidRPr="008B2B97">
        <w:rPr>
          <w:sz w:val="24"/>
          <w:szCs w:val="24"/>
        </w:rPr>
        <w:t xml:space="preserve"> города Бородино </w:t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>
        <w:rPr>
          <w:sz w:val="24"/>
          <w:szCs w:val="24"/>
        </w:rPr>
        <w:t>А.В. Первухин</w:t>
      </w:r>
    </w:p>
    <w:p w:rsidR="008A271A" w:rsidRPr="001D6265" w:rsidRDefault="008A271A" w:rsidP="008A271A">
      <w:pPr>
        <w:suppressAutoHyphens/>
        <w:spacing w:after="0" w:line="240" w:lineRule="auto"/>
        <w:ind w:right="-82"/>
        <w:rPr>
          <w:rFonts w:ascii="Arial" w:eastAsia="Calibri" w:hAnsi="Arial" w:cs="Arial"/>
          <w:color w:val="auto"/>
          <w:lang w:eastAsia="ar-SA"/>
        </w:rPr>
      </w:pPr>
    </w:p>
    <w:p w:rsidR="008A271A" w:rsidRDefault="008A271A" w:rsidP="008A2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</w:p>
    <w:p w:rsidR="008A271A" w:rsidRPr="00306CCC" w:rsidRDefault="008A271A" w:rsidP="00306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</w:pPr>
      <w:r w:rsidRPr="001D626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  <w:t>[МЕСТО ДЛЯ ПОДПИСИ]</w:t>
      </w:r>
    </w:p>
    <w:p w:rsidR="008A271A" w:rsidRPr="008B2B97" w:rsidRDefault="008A271A" w:rsidP="008A271A">
      <w:pPr>
        <w:pStyle w:val="ConsPlusNormal"/>
        <w:widowControl/>
        <w:ind w:firstLine="0"/>
        <w:rPr>
          <w:sz w:val="24"/>
          <w:szCs w:val="24"/>
        </w:rPr>
      </w:pPr>
    </w:p>
    <w:p w:rsidR="008A271A" w:rsidRPr="008B2B97" w:rsidRDefault="008A271A" w:rsidP="008A271A">
      <w:pPr>
        <w:pStyle w:val="ConsPlusNormal"/>
        <w:widowControl/>
        <w:ind w:firstLine="0"/>
        <w:rPr>
          <w:sz w:val="24"/>
          <w:szCs w:val="24"/>
        </w:rPr>
      </w:pPr>
    </w:p>
    <w:p w:rsidR="008A271A" w:rsidRPr="00C67753" w:rsidRDefault="008A271A" w:rsidP="008A27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753">
        <w:rPr>
          <w:rFonts w:ascii="Arial" w:hAnsi="Arial" w:cs="Arial"/>
          <w:sz w:val="20"/>
          <w:szCs w:val="20"/>
        </w:rPr>
        <w:t xml:space="preserve">Суровцева </w:t>
      </w:r>
    </w:p>
    <w:p w:rsidR="00EA342E" w:rsidRDefault="008A271A" w:rsidP="008A27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4-49-89</w:t>
      </w:r>
    </w:p>
    <w:p w:rsidR="00524CE0" w:rsidRPr="00306CCC" w:rsidRDefault="00524CE0" w:rsidP="008A271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EA342E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одиннадцатый этап - 2024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</w:t>
            </w:r>
            <w:r w:rsidR="00263DAA">
              <w:rPr>
                <w:rFonts w:ascii="Arial" w:hAnsi="Arial" w:cs="Arial"/>
                <w:sz w:val="24"/>
                <w:szCs w:val="24"/>
              </w:rPr>
              <w:t>27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2025 -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</w:t>
            </w:r>
            <w:r w:rsidR="00263DAA">
              <w:rPr>
                <w:rFonts w:ascii="Arial" w:hAnsi="Arial" w:cs="Arial"/>
                <w:sz w:val="24"/>
                <w:szCs w:val="24"/>
              </w:rPr>
              <w:t>15</w:t>
            </w:r>
            <w:r w:rsidRPr="00674A46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2024 - 200 ед.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2025 - 200 ед.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 деятельности органов исполнительной и представительной властей города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263DAA">
              <w:rPr>
                <w:rFonts w:ascii="Arial" w:hAnsi="Arial" w:cs="Arial"/>
                <w:sz w:val="24"/>
                <w:szCs w:val="24"/>
              </w:rPr>
              <w:t>40</w:t>
            </w:r>
            <w:r w:rsidRPr="00674A46">
              <w:rPr>
                <w:rFonts w:ascii="Arial" w:hAnsi="Arial" w:cs="Arial"/>
                <w:sz w:val="24"/>
                <w:szCs w:val="24"/>
              </w:rPr>
              <w:t>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2024 - 280 материалов</w:t>
            </w:r>
          </w:p>
          <w:p w:rsidR="00EA342E" w:rsidRPr="00674A46" w:rsidRDefault="00CD452B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280 материалов</w:t>
            </w:r>
          </w:p>
          <w:p w:rsidR="0003585C" w:rsidRDefault="0003585C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80510"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9427C7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52 </w:t>
            </w:r>
            <w:r w:rsidR="00D4382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77</w:t>
            </w:r>
            <w:r w:rsidR="00C41298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6 929,17</w:t>
            </w:r>
            <w:r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рублей,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2016 году всего 3 217 451,73 рублей, в том числе средства местного бюджета 2 527 931,29 рублей,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краевого бюджета 0,00 рублей, внебюджетные средства 689 520,44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5 460 765,48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местного бюджета 5 445 57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0,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</w:t>
            </w:r>
            <w:r w:rsidR="00B66BBC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AD6C52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4</w:t>
            </w:r>
            <w:r w:rsidR="008A271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39</w:t>
            </w:r>
            <w:r w:rsidR="00B66BBC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8A271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637</w:t>
            </w:r>
            <w:r w:rsidR="00B66BBC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,</w:t>
            </w:r>
            <w:r w:rsidR="008A271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78</w:t>
            </w:r>
            <w:r w:rsidR="006463CF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D53566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6 439 637,78</w:t>
            </w:r>
            <w:r w:rsidR="00D4382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2024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2025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263DAA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политической газете «Бородинский вестник». Именно она является основным источником информации для горожан о жизни города. </w:t>
      </w:r>
    </w:p>
    <w:p w:rsidR="00263DAA" w:rsidRPr="00D229B7" w:rsidRDefault="00263DAA" w:rsidP="00263DA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Созданная в 1991 году, до 2023 года газета выходила еженедельно на двенадцати полосах формата А3. С 10 мая 2023 года газета выходит на шестнадцати полосах формата А3. Это позволило размещать на страницах газеты больший объем материалов о жизни города, интересных и значимых событиях, реализуемых проектах</w:t>
      </w:r>
      <w:r>
        <w:rPr>
          <w:rFonts w:ascii="Arial" w:hAnsi="Arial" w:cs="Arial"/>
          <w:color w:val="000000" w:themeColor="text1"/>
          <w:sz w:val="24"/>
          <w:szCs w:val="24"/>
        </w:rPr>
        <w:t>, увеличить объем социальной рекламы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. На одной из добавленных полос печатаются материалы, предоставляемые Агентством массовых коммуникаций Красноярского края. Благодаря этому жители Бородино получили возможность со страниц местной газеты узнавать о наиболее значимых событиях, происходящих в регионе. Также появилась страница для садоводов и огородников. Еженедельно готовится подборка материалов на самые разнообразные темы, касающиеся ухода за растениями</w:t>
      </w:r>
      <w:r>
        <w:rPr>
          <w:rFonts w:ascii="Arial" w:hAnsi="Arial" w:cs="Arial"/>
          <w:color w:val="000000" w:themeColor="text1"/>
          <w:sz w:val="24"/>
          <w:szCs w:val="24"/>
        </w:rPr>
        <w:t>, полезные советы садоводам и огородникам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63DAA" w:rsidRPr="000530CB" w:rsidRDefault="00263DAA" w:rsidP="00263D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На страницах газеты в рубриках «актуально», «спрашивали - отвечаем», «важно»,</w:t>
      </w:r>
      <w:r w:rsidRPr="001D62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«консультации специалиста»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</w:t>
      </w:r>
      <w:r w:rsidR="00263DAA">
        <w:rPr>
          <w:rFonts w:ascii="Arial" w:hAnsi="Arial" w:cs="Arial"/>
          <w:sz w:val="24"/>
          <w:szCs w:val="24"/>
        </w:rPr>
        <w:t xml:space="preserve">, </w:t>
      </w:r>
      <w:r w:rsidRPr="000530CB">
        <w:rPr>
          <w:rFonts w:ascii="Arial" w:hAnsi="Arial" w:cs="Arial"/>
          <w:sz w:val="24"/>
          <w:szCs w:val="24"/>
        </w:rPr>
        <w:t>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0530CB">
        <w:rPr>
          <w:rFonts w:ascii="Arial" w:hAnsi="Arial" w:cs="Arial"/>
          <w:sz w:val="24"/>
          <w:szCs w:val="24"/>
        </w:rPr>
        <w:t>»</w:t>
      </w:r>
      <w:r w:rsidR="00263DAA">
        <w:rPr>
          <w:rFonts w:ascii="Arial" w:hAnsi="Arial" w:cs="Arial"/>
          <w:sz w:val="24"/>
          <w:szCs w:val="24"/>
        </w:rPr>
        <w:t xml:space="preserve">, </w:t>
      </w:r>
      <w:r w:rsidR="00263DAA" w:rsidRPr="00D229B7">
        <w:rPr>
          <w:rFonts w:ascii="Arial" w:hAnsi="Arial" w:cs="Arial"/>
          <w:color w:val="auto"/>
          <w:sz w:val="24"/>
          <w:szCs w:val="24"/>
        </w:rPr>
        <w:t>«</w:t>
      </w:r>
      <w:proofErr w:type="spellStart"/>
      <w:r w:rsidR="00263DAA" w:rsidRPr="00D229B7">
        <w:rPr>
          <w:rFonts w:ascii="Arial" w:hAnsi="Arial" w:cs="Arial"/>
          <w:color w:val="auto"/>
          <w:sz w:val="24"/>
          <w:szCs w:val="24"/>
        </w:rPr>
        <w:t>Телеграм</w:t>
      </w:r>
      <w:proofErr w:type="spellEnd"/>
      <w:r w:rsidR="00263DAA" w:rsidRPr="00D229B7">
        <w:rPr>
          <w:rFonts w:ascii="Arial" w:hAnsi="Arial" w:cs="Arial"/>
          <w:color w:val="auto"/>
          <w:sz w:val="24"/>
          <w:szCs w:val="24"/>
        </w:rPr>
        <w:t xml:space="preserve">». </w:t>
      </w:r>
      <w:r w:rsidR="00263DAA">
        <w:rPr>
          <w:rFonts w:ascii="Arial" w:hAnsi="Arial" w:cs="Arial"/>
          <w:color w:val="auto"/>
          <w:sz w:val="24"/>
          <w:szCs w:val="24"/>
        </w:rPr>
        <w:t>В социальных сетях оперативно размещаются новости, актуальные сообщения, касающиеся всех сфер жизни города, отлажен механизм обратной связи с населением: сотрудники газеты оперативно готовят ответы на вопросы и комментарии бородинцев.</w:t>
      </w:r>
      <w:r w:rsidRPr="000530CB">
        <w:rPr>
          <w:rFonts w:ascii="Arial" w:hAnsi="Arial" w:cs="Arial"/>
          <w:sz w:val="24"/>
          <w:szCs w:val="24"/>
        </w:rPr>
        <w:t xml:space="preserve"> Материалы газеты </w:t>
      </w:r>
      <w:r w:rsidR="00263DAA">
        <w:rPr>
          <w:rFonts w:ascii="Arial" w:hAnsi="Arial" w:cs="Arial"/>
          <w:sz w:val="24"/>
          <w:szCs w:val="24"/>
        </w:rPr>
        <w:t xml:space="preserve">также </w:t>
      </w:r>
      <w:r w:rsidRPr="000530CB">
        <w:rPr>
          <w:rFonts w:ascii="Arial" w:hAnsi="Arial" w:cs="Arial"/>
          <w:sz w:val="24"/>
          <w:szCs w:val="24"/>
        </w:rPr>
        <w:t>размещаются на официальном сайте Администрации города Бородино.</w:t>
      </w:r>
    </w:p>
    <w:p w:rsidR="002C306A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</w:t>
      </w:r>
      <w:r w:rsidRPr="00674A46">
        <w:rPr>
          <w:rFonts w:ascii="Arial" w:hAnsi="Arial" w:cs="Arial"/>
          <w:sz w:val="24"/>
          <w:szCs w:val="24"/>
        </w:rPr>
        <w:t xml:space="preserve">В 2016 и 2017, 2018, 2019 и 2020, </w:t>
      </w:r>
      <w:r w:rsidRPr="00674A46">
        <w:rPr>
          <w:rFonts w:ascii="Arial" w:hAnsi="Arial" w:cs="Arial"/>
          <w:sz w:val="24"/>
          <w:szCs w:val="24"/>
        </w:rPr>
        <w:lastRenderedPageBreak/>
        <w:t>2021 году, данный показатель остался на прежнем уровне.</w:t>
      </w:r>
      <w:r>
        <w:rPr>
          <w:rFonts w:ascii="Arial" w:hAnsi="Arial" w:cs="Arial"/>
          <w:sz w:val="24"/>
          <w:szCs w:val="24"/>
        </w:rPr>
        <w:t xml:space="preserve"> </w:t>
      </w:r>
      <w:r w:rsidR="002C306A">
        <w:rPr>
          <w:rFonts w:ascii="Arial" w:hAnsi="Arial" w:cs="Arial"/>
          <w:sz w:val="24"/>
          <w:szCs w:val="24"/>
        </w:rPr>
        <w:t>В 2022 году в связи с увольнением одного сотрудника</w:t>
      </w:r>
      <w:r w:rsidR="002C306A" w:rsidRPr="002C306A">
        <w:rPr>
          <w:rFonts w:ascii="Arial" w:hAnsi="Arial" w:cs="Arial"/>
          <w:sz w:val="24"/>
          <w:szCs w:val="24"/>
        </w:rPr>
        <w:t xml:space="preserve"> </w:t>
      </w:r>
      <w:r w:rsidR="002C306A" w:rsidRPr="000530CB">
        <w:rPr>
          <w:rFonts w:ascii="Arial" w:hAnsi="Arial" w:cs="Arial"/>
          <w:sz w:val="24"/>
          <w:szCs w:val="24"/>
        </w:rPr>
        <w:t>количество сотрудников, имеющих высшее гума</w:t>
      </w:r>
      <w:r w:rsidR="002C306A">
        <w:rPr>
          <w:rFonts w:ascii="Arial" w:hAnsi="Arial" w:cs="Arial"/>
          <w:sz w:val="24"/>
          <w:szCs w:val="24"/>
        </w:rPr>
        <w:t>нитарное образование составило 4</w:t>
      </w:r>
      <w:r w:rsidR="002C306A" w:rsidRPr="000530CB">
        <w:rPr>
          <w:rFonts w:ascii="Arial" w:hAnsi="Arial" w:cs="Arial"/>
          <w:sz w:val="24"/>
          <w:szCs w:val="24"/>
        </w:rPr>
        <w:t xml:space="preserve"> человек</w:t>
      </w:r>
      <w:r w:rsidR="002C306A">
        <w:rPr>
          <w:rFonts w:ascii="Arial" w:hAnsi="Arial" w:cs="Arial"/>
          <w:sz w:val="24"/>
          <w:szCs w:val="24"/>
        </w:rPr>
        <w:t>а</w:t>
      </w:r>
      <w:r w:rsidR="002C306A" w:rsidRPr="000530CB">
        <w:rPr>
          <w:rFonts w:ascii="Arial" w:hAnsi="Arial" w:cs="Arial"/>
          <w:sz w:val="24"/>
          <w:szCs w:val="24"/>
        </w:rPr>
        <w:t xml:space="preserve">. Один человек имеет стаж </w:t>
      </w:r>
      <w:r w:rsidR="002C306A">
        <w:rPr>
          <w:rFonts w:ascii="Arial" w:hAnsi="Arial" w:cs="Arial"/>
          <w:sz w:val="24"/>
          <w:szCs w:val="24"/>
        </w:rPr>
        <w:t>работы по специальности более 8 лет, 2 – более 5 лет, 1</w:t>
      </w:r>
      <w:r w:rsidR="002C306A" w:rsidRPr="000530CB">
        <w:rPr>
          <w:rFonts w:ascii="Arial" w:hAnsi="Arial" w:cs="Arial"/>
          <w:sz w:val="24"/>
          <w:szCs w:val="24"/>
        </w:rPr>
        <w:t xml:space="preserve"> – более </w:t>
      </w:r>
      <w:r w:rsidR="002C306A">
        <w:rPr>
          <w:rFonts w:ascii="Arial" w:hAnsi="Arial" w:cs="Arial"/>
          <w:sz w:val="24"/>
          <w:szCs w:val="24"/>
        </w:rPr>
        <w:t>1 года</w:t>
      </w:r>
      <w:r w:rsidR="002C306A" w:rsidRPr="000530CB">
        <w:rPr>
          <w:rFonts w:ascii="Arial" w:hAnsi="Arial" w:cs="Arial"/>
          <w:sz w:val="24"/>
          <w:szCs w:val="24"/>
        </w:rPr>
        <w:t>.</w:t>
      </w:r>
    </w:p>
    <w:p w:rsidR="00263DAA" w:rsidRDefault="00263DAA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В 2023 году численность коллектива составила 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сотрудников. </w:t>
      </w:r>
      <w:r>
        <w:rPr>
          <w:rFonts w:ascii="Arial" w:hAnsi="Arial" w:cs="Arial"/>
          <w:color w:val="auto"/>
          <w:sz w:val="24"/>
          <w:szCs w:val="24"/>
        </w:rPr>
        <w:t xml:space="preserve">Пять </w:t>
      </w:r>
      <w:r w:rsidRPr="00D229B7">
        <w:rPr>
          <w:rFonts w:ascii="Arial" w:hAnsi="Arial" w:cs="Arial"/>
          <w:color w:val="auto"/>
          <w:sz w:val="24"/>
          <w:szCs w:val="24"/>
        </w:rPr>
        <w:t>сотрудник</w:t>
      </w:r>
      <w:r>
        <w:rPr>
          <w:rFonts w:ascii="Arial" w:hAnsi="Arial" w:cs="Arial"/>
          <w:color w:val="auto"/>
          <w:sz w:val="24"/>
          <w:szCs w:val="24"/>
        </w:rPr>
        <w:t>ов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уволились, </w:t>
      </w:r>
      <w:r>
        <w:rPr>
          <w:rFonts w:ascii="Arial" w:hAnsi="Arial" w:cs="Arial"/>
          <w:color w:val="auto"/>
          <w:sz w:val="24"/>
          <w:szCs w:val="24"/>
        </w:rPr>
        <w:t>три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приняты на работу. Количество сотрудников, имеющих высшее образование, составило 7 человек. Два сотрудника имеют стаж работы в сфере массовых коммуникаций более 25 лет, 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сотрудника – более 20 лет, 1 сотрудник – более 2 лет, 1 сотрудник – более 1 года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EA342E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творческих конкурсов, например: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2019 года корреспондент А. Ветошкина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- 2020», за серию работ о детях войны. </w:t>
      </w:r>
      <w:r w:rsidRPr="00F5774C">
        <w:rPr>
          <w:rFonts w:ascii="Arial" w:hAnsi="Arial" w:cs="Arial"/>
          <w:sz w:val="24"/>
          <w:szCs w:val="24"/>
        </w:rPr>
        <w:t>В 2021 году журналист И. Плишкина участвует в конкурсе журналистских работ Красноярского края «Енисей-РФ», в номинации – «Лучший корреспондент газеты». Подведение итогов конкурса состоится в конце ноября.</w:t>
      </w:r>
      <w:r>
        <w:rPr>
          <w:rFonts w:ascii="Arial" w:hAnsi="Arial" w:cs="Arial"/>
          <w:sz w:val="24"/>
          <w:szCs w:val="24"/>
        </w:rPr>
        <w:t xml:space="preserve">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 участие во всероссийском конкурсе  для творческой молодёжи «Алый парус». Также в этом году она участвовала в конкурсе журналистских работ Красноярского края «Енисей-РФ»</w:t>
      </w:r>
      <w:r w:rsidR="00263DAA">
        <w:rPr>
          <w:rFonts w:ascii="Arial" w:hAnsi="Arial" w:cs="Arial"/>
          <w:sz w:val="24"/>
          <w:szCs w:val="24"/>
        </w:rPr>
        <w:t>.</w:t>
      </w:r>
    </w:p>
    <w:p w:rsidR="00263DAA" w:rsidRPr="000530CB" w:rsidRDefault="00263DAA" w:rsidP="00263D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sz w:val="24"/>
          <w:szCs w:val="24"/>
        </w:rPr>
        <w:t xml:space="preserve">В 2023 году сотрудники газеты «Бородинский вестник» не принимали участие в конкурсах журналистского мастерства. Старший корреспондент Анастасия </w:t>
      </w:r>
      <w:proofErr w:type="spellStart"/>
      <w:r w:rsidRPr="00D229B7">
        <w:rPr>
          <w:rFonts w:ascii="Arial" w:hAnsi="Arial" w:cs="Arial"/>
          <w:sz w:val="24"/>
          <w:szCs w:val="24"/>
        </w:rPr>
        <w:t>Калегина</w:t>
      </w:r>
      <w:proofErr w:type="spellEnd"/>
      <w:r w:rsidRPr="00D229B7">
        <w:rPr>
          <w:rFonts w:ascii="Arial" w:hAnsi="Arial" w:cs="Arial"/>
          <w:sz w:val="24"/>
          <w:szCs w:val="24"/>
        </w:rPr>
        <w:t xml:space="preserve"> приняла участие в Международном онлайн-марафоне «</w:t>
      </w:r>
      <w:proofErr w:type="spellStart"/>
      <w:r w:rsidRPr="00D229B7">
        <w:rPr>
          <w:rFonts w:ascii="Arial" w:hAnsi="Arial" w:cs="Arial"/>
          <w:sz w:val="24"/>
          <w:szCs w:val="24"/>
        </w:rPr>
        <w:t>НАНОтексты</w:t>
      </w:r>
      <w:proofErr w:type="spellEnd"/>
      <w:r w:rsidRPr="00D229B7">
        <w:rPr>
          <w:rFonts w:ascii="Arial" w:hAnsi="Arial" w:cs="Arial"/>
          <w:sz w:val="24"/>
          <w:szCs w:val="24"/>
        </w:rPr>
        <w:t xml:space="preserve">», по результатам отбора авторская работа А. </w:t>
      </w:r>
      <w:proofErr w:type="spellStart"/>
      <w:r w:rsidRPr="00D229B7">
        <w:rPr>
          <w:rFonts w:ascii="Arial" w:hAnsi="Arial" w:cs="Arial"/>
          <w:sz w:val="24"/>
          <w:szCs w:val="24"/>
        </w:rPr>
        <w:t>Калегиной</w:t>
      </w:r>
      <w:proofErr w:type="spellEnd"/>
      <w:r w:rsidRPr="00D229B7">
        <w:rPr>
          <w:rFonts w:ascii="Arial" w:hAnsi="Arial" w:cs="Arial"/>
          <w:sz w:val="24"/>
          <w:szCs w:val="24"/>
        </w:rPr>
        <w:t xml:space="preserve"> включен в сборник с одноименным названием. Сборник вышел летом 2023 года. В 2023 году А. </w:t>
      </w:r>
      <w:proofErr w:type="spellStart"/>
      <w:r w:rsidRPr="00D229B7">
        <w:rPr>
          <w:rFonts w:ascii="Arial" w:hAnsi="Arial" w:cs="Arial"/>
          <w:sz w:val="24"/>
          <w:szCs w:val="24"/>
        </w:rPr>
        <w:t>Калегина</w:t>
      </w:r>
      <w:proofErr w:type="spellEnd"/>
      <w:r w:rsidRPr="00D229B7">
        <w:rPr>
          <w:rFonts w:ascii="Arial" w:hAnsi="Arial" w:cs="Arial"/>
          <w:sz w:val="24"/>
          <w:szCs w:val="24"/>
        </w:rPr>
        <w:t xml:space="preserve"> стала участницей краевого проекта «Птички на страничках».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Наталья.Лакеенок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СФУ </w:t>
      </w:r>
      <w:r w:rsidRPr="006E25CE">
        <w:rPr>
          <w:rFonts w:ascii="Arial" w:hAnsi="Arial" w:cs="Arial"/>
          <w:sz w:val="24"/>
          <w:szCs w:val="24"/>
        </w:rPr>
        <w:t>поступила</w:t>
      </w:r>
      <w:r>
        <w:rPr>
          <w:rFonts w:ascii="Arial" w:hAnsi="Arial" w:cs="Arial"/>
          <w:sz w:val="24"/>
          <w:szCs w:val="24"/>
        </w:rPr>
        <w:t xml:space="preserve"> Александра Валецкая.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В 2022 </w:t>
      </w:r>
      <w:r w:rsidR="003C521C">
        <w:rPr>
          <w:rFonts w:ascii="Arial" w:hAnsi="Arial" w:cs="Arial"/>
          <w:sz w:val="24"/>
          <w:szCs w:val="24"/>
        </w:rPr>
        <w:t xml:space="preserve">и 2023 годах </w:t>
      </w:r>
      <w:r w:rsidRPr="00674A46">
        <w:rPr>
          <w:rFonts w:ascii="Arial" w:hAnsi="Arial" w:cs="Arial"/>
          <w:sz w:val="24"/>
          <w:szCs w:val="24"/>
        </w:rPr>
        <w:t>студентов</w:t>
      </w:r>
      <w:r w:rsidR="003C521C">
        <w:rPr>
          <w:rFonts w:ascii="Arial" w:hAnsi="Arial" w:cs="Arial"/>
          <w:sz w:val="24"/>
          <w:szCs w:val="24"/>
        </w:rPr>
        <w:t>,</w:t>
      </w:r>
      <w:r w:rsidRPr="00674A46">
        <w:rPr>
          <w:rFonts w:ascii="Arial" w:hAnsi="Arial" w:cs="Arial"/>
          <w:sz w:val="24"/>
          <w:szCs w:val="24"/>
        </w:rPr>
        <w:t xml:space="preserve"> поступивших на факультеты журналистики и проходящих производственную практику</w:t>
      </w:r>
      <w:r w:rsidR="003C521C">
        <w:rPr>
          <w:rFonts w:ascii="Arial" w:hAnsi="Arial" w:cs="Arial"/>
          <w:sz w:val="24"/>
          <w:szCs w:val="24"/>
        </w:rPr>
        <w:t>,</w:t>
      </w:r>
      <w:r w:rsidRPr="00674A46">
        <w:rPr>
          <w:rFonts w:ascii="Arial" w:hAnsi="Arial" w:cs="Arial"/>
          <w:sz w:val="24"/>
          <w:szCs w:val="24"/>
        </w:rPr>
        <w:t xml:space="preserve">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на муниципальное казённое учреждение «Редакция газеты «Бородинский вестник»», внебюджетных источников не было.</w:t>
      </w:r>
    </w:p>
    <w:p w:rsidR="003C521C" w:rsidRPr="000530CB" w:rsidRDefault="003C521C" w:rsidP="003C5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</w:t>
      </w:r>
      <w:r>
        <w:rPr>
          <w:rFonts w:ascii="Arial" w:hAnsi="Arial" w:cs="Arial"/>
          <w:sz w:val="24"/>
          <w:szCs w:val="24"/>
        </w:rPr>
        <w:t>:</w:t>
      </w:r>
    </w:p>
    <w:p w:rsidR="003C521C" w:rsidRPr="000530CB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</w:t>
      </w:r>
      <w:r w:rsidRPr="000530CB">
        <w:rPr>
          <w:rFonts w:ascii="Arial" w:hAnsi="Arial" w:cs="Arial"/>
          <w:sz w:val="24"/>
          <w:szCs w:val="24"/>
        </w:rPr>
        <w:t>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</w:t>
      </w:r>
      <w:r>
        <w:rPr>
          <w:rFonts w:ascii="Arial" w:hAnsi="Arial" w:cs="Arial"/>
          <w:sz w:val="24"/>
          <w:szCs w:val="24"/>
        </w:rPr>
        <w:t>;</w:t>
      </w:r>
    </w:p>
    <w:p w:rsidR="003C521C" w:rsidRPr="000530CB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</w:t>
      </w:r>
      <w:r w:rsidRPr="000530CB">
        <w:rPr>
          <w:rFonts w:ascii="Arial" w:hAnsi="Arial" w:cs="Arial"/>
          <w:sz w:val="24"/>
          <w:szCs w:val="24"/>
        </w:rPr>
        <w:t>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</w:t>
      </w:r>
      <w:r>
        <w:rPr>
          <w:rFonts w:ascii="Arial" w:hAnsi="Arial" w:cs="Arial"/>
          <w:sz w:val="24"/>
          <w:szCs w:val="24"/>
        </w:rPr>
        <w:t>;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3C521C" w:rsidRPr="000530CB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0530CB">
        <w:rPr>
          <w:rFonts w:ascii="Arial" w:hAnsi="Arial" w:cs="Arial"/>
          <w:sz w:val="24"/>
          <w:szCs w:val="24"/>
        </w:rPr>
        <w:t>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3C521C" w:rsidRPr="000530CB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3. Приоритеты и цели социально-экономического развития в соответствующей сфере, описание основных целей и задач программы, </w:t>
      </w:r>
      <w:r w:rsidRPr="000530CB">
        <w:rPr>
          <w:rFonts w:ascii="Arial" w:hAnsi="Arial" w:cs="Arial"/>
          <w:b/>
          <w:bCs/>
          <w:sz w:val="24"/>
          <w:szCs w:val="24"/>
        </w:rPr>
        <w:lastRenderedPageBreak/>
        <w:t>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Бородино, в виде официального сайта «Редакции газеты «Бородинский вестник»».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Администрация города Бородино.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издание еженедельной общественно-политической газеты «Бородинский вестник» с приложениями;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размещение материалов о наиболее значимых событиях в городе и регионе, информации о деятельности органов власти, информации о реализуемых на территории города и края социальных программ, обращений к горожанам на страничках «Бородинского вестника» в социальных сетях «Одноклассники», «</w:t>
      </w:r>
      <w:proofErr w:type="spellStart"/>
      <w:r w:rsidRPr="003C521C">
        <w:rPr>
          <w:rFonts w:ascii="Arial" w:hAnsi="Arial" w:cs="Arial"/>
          <w:sz w:val="24"/>
          <w:szCs w:val="24"/>
        </w:rPr>
        <w:t>ВКонтакте</w:t>
      </w:r>
      <w:proofErr w:type="spellEnd"/>
      <w:r w:rsidRPr="003C521C">
        <w:rPr>
          <w:rFonts w:ascii="Arial" w:hAnsi="Arial" w:cs="Arial"/>
          <w:sz w:val="24"/>
          <w:szCs w:val="24"/>
        </w:rPr>
        <w:t>», «</w:t>
      </w:r>
      <w:proofErr w:type="spellStart"/>
      <w:r w:rsidRPr="003C521C">
        <w:rPr>
          <w:rFonts w:ascii="Arial" w:hAnsi="Arial" w:cs="Arial"/>
          <w:sz w:val="24"/>
          <w:szCs w:val="24"/>
        </w:rPr>
        <w:t>Телеграм</w:t>
      </w:r>
      <w:proofErr w:type="spellEnd"/>
      <w:r w:rsidRPr="003C521C">
        <w:rPr>
          <w:rFonts w:ascii="Arial" w:hAnsi="Arial" w:cs="Arial"/>
          <w:sz w:val="24"/>
          <w:szCs w:val="24"/>
        </w:rPr>
        <w:t>»;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оперативное реагирование на комментарии жителей города, касающиеся различных сфер жизни, подготовка и размещение ответов на вопросы горожан;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участие в качестве информационного партнера в реализации муниципальных программ, мероприятиях, конкурсах, проектах;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подготовка полугодового и годового отчетов по итогам реализации программы.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подготовку выпусков газеты «Бородинский вестник», приложений;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ведение страниц в социальных сетях газеты;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составление отчетов о реализации программы и достигнутых результатах;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корректировку программы;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3C521C" w:rsidRPr="003C521C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Федеральный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21C">
        <w:rPr>
          <w:rFonts w:ascii="Arial" w:hAnsi="Arial" w:cs="Arial"/>
          <w:sz w:val="24"/>
          <w:szCs w:val="24"/>
        </w:rPr>
        <w:t>- Распоряжение администрации города Бородино от 19.10.2020 г. № 689 «Об утверждении платных услуг, оказываемых МКУ «Редакция газеты «Бородинский вестник»» на 2021 год».</w:t>
      </w:r>
    </w:p>
    <w:p w:rsidR="003C521C" w:rsidRPr="000530CB" w:rsidRDefault="003C521C" w:rsidP="003C52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3C521C" w:rsidRPr="003C521C" w:rsidRDefault="003C521C" w:rsidP="003C521C">
      <w:pPr>
        <w:pStyle w:val="a8"/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521C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3C521C" w:rsidRPr="003C521C" w:rsidRDefault="003C521C" w:rsidP="003C521C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C521C">
        <w:rPr>
          <w:rFonts w:ascii="Arial" w:hAnsi="Arial" w:cs="Arial"/>
          <w:bCs/>
          <w:sz w:val="24"/>
          <w:szCs w:val="24"/>
        </w:rPr>
        <w:t>- сохранить удовлетворенность населения города Бородино информационной открытостью органов местного самоуправления на уровне 97,27 % к 2026 году (% от числа опрошенных);</w:t>
      </w:r>
    </w:p>
    <w:p w:rsidR="003C521C" w:rsidRPr="003C521C" w:rsidRDefault="003C521C" w:rsidP="003C521C">
      <w:pPr>
        <w:pStyle w:val="a8"/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C521C">
        <w:rPr>
          <w:rFonts w:ascii="Arial" w:hAnsi="Arial" w:cs="Arial"/>
          <w:bCs/>
          <w:sz w:val="24"/>
          <w:szCs w:val="24"/>
        </w:rPr>
        <w:t>- сохранить качество издания газеты на уровне 1000 подписчиков в год;</w:t>
      </w:r>
    </w:p>
    <w:p w:rsidR="003C521C" w:rsidRPr="003C521C" w:rsidRDefault="003C521C" w:rsidP="003C521C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C521C">
        <w:rPr>
          <w:rFonts w:ascii="Arial" w:hAnsi="Arial" w:cs="Arial"/>
          <w:bCs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3C521C" w:rsidRPr="003C521C" w:rsidRDefault="003C521C" w:rsidP="003C521C">
      <w:pPr>
        <w:pStyle w:val="a8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3C521C">
        <w:rPr>
          <w:rFonts w:ascii="Arial" w:hAnsi="Arial" w:cs="Arial"/>
          <w:bCs/>
          <w:sz w:val="24"/>
          <w:szCs w:val="24"/>
        </w:rPr>
        <w:t>- сохранить объем распространения социальной рекламы в средствах массовой коммуникации на уровне 215 ед. ежегодно;</w:t>
      </w:r>
    </w:p>
    <w:p w:rsidR="003C521C" w:rsidRPr="003C521C" w:rsidRDefault="003C521C" w:rsidP="003C521C">
      <w:pPr>
        <w:pStyle w:val="a8"/>
        <w:tabs>
          <w:tab w:val="left" w:pos="709"/>
        </w:tabs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3C521C">
        <w:rPr>
          <w:rFonts w:ascii="Arial" w:hAnsi="Arial" w:cs="Arial"/>
          <w:bCs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3C521C" w:rsidRPr="003C521C" w:rsidRDefault="003C521C" w:rsidP="003C521C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Pr="003C521C">
        <w:rPr>
          <w:rFonts w:ascii="Arial" w:hAnsi="Arial" w:cs="Arial"/>
          <w:bCs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400 материалов в год;</w:t>
      </w:r>
    </w:p>
    <w:p w:rsidR="003C521C" w:rsidRPr="003C521C" w:rsidRDefault="003C521C" w:rsidP="003C521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521C">
        <w:rPr>
          <w:rFonts w:ascii="Arial" w:hAnsi="Arial" w:cs="Arial"/>
          <w:bCs/>
          <w:sz w:val="24"/>
          <w:szCs w:val="24"/>
        </w:rPr>
        <w:t>- сохранить число подписчиков на уровне 1000 чел. в год.</w:t>
      </w:r>
    </w:p>
    <w:p w:rsidR="003C521C" w:rsidRDefault="003C521C" w:rsidP="003C521C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C521C">
        <w:rPr>
          <w:rFonts w:ascii="Arial" w:hAnsi="Arial" w:cs="Arial"/>
          <w:bCs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EA342E" w:rsidRPr="000530CB" w:rsidRDefault="00EA342E" w:rsidP="003C521C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lastRenderedPageBreak/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>ого и дошкольного образования, 6 – спорт, 17 – 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  <w:r w:rsidR="003C521C">
        <w:rPr>
          <w:rFonts w:ascii="Arial" w:hAnsi="Arial" w:cs="Arial"/>
          <w:sz w:val="24"/>
          <w:szCs w:val="24"/>
        </w:rPr>
        <w:t>.</w:t>
      </w:r>
    </w:p>
    <w:p w:rsidR="003C521C" w:rsidRPr="003C521C" w:rsidRDefault="003C521C" w:rsidP="003C521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C521C">
        <w:rPr>
          <w:rFonts w:ascii="Arial" w:hAnsi="Arial" w:cs="Arial"/>
          <w:color w:val="auto"/>
          <w:sz w:val="24"/>
          <w:szCs w:val="24"/>
        </w:rPr>
        <w:t>Анализ работы редакции и динамика основных показателей реализации программы в 2023 году были проведены на основе анкетного опроса 220 бородинцев. В опросе приняли участие 85 мужчин и 135 женщин. Возраст от 16 до 30 лет – 35, от 31 до 55 лет – 139, 56 лет и старше - 46. Образование участников анкетирования: среднее – 27; средне – специальное – 81; высшее – 112.</w:t>
      </w:r>
    </w:p>
    <w:p w:rsidR="003C521C" w:rsidRPr="003C521C" w:rsidRDefault="003C521C" w:rsidP="003C521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21C">
        <w:rPr>
          <w:rFonts w:ascii="Arial" w:hAnsi="Arial" w:cs="Arial"/>
          <w:color w:val="000000" w:themeColor="text1"/>
          <w:sz w:val="24"/>
          <w:szCs w:val="24"/>
        </w:rPr>
        <w:t>Род занятий опрошенных: работники бюджетной сферы – 56; сотрудники промышленных предприятий – 68, работники коммерческих организаций – 28; предприниматели – 4; сотрудники силовых структур – 15; пенсионеры – 31, учащиеся – 17; безработные – 1.</w:t>
      </w:r>
    </w:p>
    <w:p w:rsidR="003C521C" w:rsidRPr="003C521C" w:rsidRDefault="003C521C" w:rsidP="003C521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21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 вопрос: «Читаете ли Вы газету «Бородинский вестник»? 200 человек ответили, что делают это регулярно, 12 человек читают газету периодически, 8 – эпизодически. 92 человека получают газету на работе, 40 - оформляют подписку на почте, 80 - подписываются в редакции, 8 опрошенных приобретают «Бородинский вестник» в предприятиях розничной торговли. </w:t>
      </w:r>
    </w:p>
    <w:p w:rsidR="003C521C" w:rsidRPr="003C521C" w:rsidRDefault="003C521C" w:rsidP="003C521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21C">
        <w:rPr>
          <w:rFonts w:ascii="Arial" w:hAnsi="Arial" w:cs="Arial"/>
          <w:color w:val="000000" w:themeColor="text1"/>
          <w:sz w:val="24"/>
          <w:szCs w:val="24"/>
        </w:rPr>
        <w:t xml:space="preserve">214 (97,27%) респондентов считают, что газета достаточно полно информирует население города о деятельности органов власти, работе городских учреждений и промышленных предприятий, происходящих в городе социально-культурных событиях, реализуемых социальных и молодежных проектах. </w:t>
      </w:r>
    </w:p>
    <w:p w:rsidR="003C521C" w:rsidRPr="003C521C" w:rsidRDefault="003C521C" w:rsidP="003C521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21C">
        <w:rPr>
          <w:rFonts w:ascii="Arial" w:hAnsi="Arial" w:cs="Arial"/>
          <w:color w:val="000000" w:themeColor="text1"/>
          <w:sz w:val="24"/>
          <w:szCs w:val="24"/>
        </w:rPr>
        <w:t>Самыми популярными рубриками участники опроса назвали следующие: «</w:t>
      </w:r>
      <w:proofErr w:type="spellStart"/>
      <w:r w:rsidRPr="003C521C">
        <w:rPr>
          <w:rFonts w:ascii="Arial" w:hAnsi="Arial" w:cs="Arial"/>
          <w:color w:val="000000" w:themeColor="text1"/>
          <w:sz w:val="24"/>
          <w:szCs w:val="24"/>
        </w:rPr>
        <w:t>СВОих</w:t>
      </w:r>
      <w:proofErr w:type="spellEnd"/>
      <w:r w:rsidRPr="003C521C">
        <w:rPr>
          <w:rFonts w:ascii="Arial" w:hAnsi="Arial" w:cs="Arial"/>
          <w:color w:val="000000" w:themeColor="text1"/>
          <w:sz w:val="24"/>
          <w:szCs w:val="24"/>
        </w:rPr>
        <w:t xml:space="preserve"> не бросаем», «Благоустройство», «Наши люди», «Мир увлечений», «Ритмы жизни», «Консультации специалиста».</w:t>
      </w:r>
    </w:p>
    <w:p w:rsidR="003C521C" w:rsidRPr="003C521C" w:rsidRDefault="003C521C" w:rsidP="003C521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21C">
        <w:rPr>
          <w:rFonts w:ascii="Arial" w:hAnsi="Arial" w:cs="Arial"/>
          <w:color w:val="000000" w:themeColor="text1"/>
          <w:sz w:val="24"/>
          <w:szCs w:val="24"/>
        </w:rPr>
        <w:t xml:space="preserve">По мнению анкетируемых недостаточно полно в газете освещаются темы, касающиеся экологии, работы депутатского корпуса, здравоохранения. </w:t>
      </w:r>
    </w:p>
    <w:p w:rsidR="003C521C" w:rsidRPr="000530CB" w:rsidRDefault="003C521C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услуг, оказываемых МКУ «Редакция газеты «Бородинский вестник»»;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72004A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D53566"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52 776 929,17 </w:t>
      </w:r>
      <w:r w:rsidRPr="0072004A">
        <w:rPr>
          <w:rFonts w:ascii="Arial" w:hAnsi="Arial" w:cs="Arial"/>
          <w:sz w:val="24"/>
          <w:szCs w:val="24"/>
          <w:lang w:eastAsia="ar-SA"/>
        </w:rPr>
        <w:t>рублей</w:t>
      </w:r>
      <w:r w:rsidRPr="002E5A60">
        <w:rPr>
          <w:rFonts w:ascii="Arial" w:hAnsi="Arial" w:cs="Arial"/>
          <w:sz w:val="24"/>
          <w:szCs w:val="24"/>
          <w:lang w:eastAsia="ar-SA"/>
        </w:rPr>
        <w:t>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2022 году </w:t>
      </w:r>
      <w:r w:rsidRPr="0072004A">
        <w:rPr>
          <w:rFonts w:ascii="Arial" w:hAnsi="Arial" w:cs="Arial"/>
          <w:sz w:val="24"/>
          <w:szCs w:val="24"/>
          <w:lang w:eastAsia="ar-SA"/>
        </w:rPr>
        <w:t>всего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60 765,48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45 57</w:t>
      </w:r>
      <w:r w:rsidRPr="0072004A">
        <w:rPr>
          <w:rFonts w:ascii="Arial" w:hAnsi="Arial" w:cs="Arial"/>
          <w:sz w:val="24"/>
          <w:szCs w:val="24"/>
          <w:lang w:eastAsia="ar-SA"/>
        </w:rPr>
        <w:t>0,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15 195,32 рублей, внебюджетные средства 0,00 рублей.</w:t>
      </w:r>
    </w:p>
    <w:p w:rsidR="00EA342E" w:rsidRPr="0057176B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2023 году всего </w:t>
      </w:r>
      <w:r w:rsidR="00D53566"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6 439 637,78 </w:t>
      </w:r>
      <w:r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D53566"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6 439 637,78 </w:t>
      </w:r>
      <w:r w:rsidRPr="00701599">
        <w:rPr>
          <w:rFonts w:ascii="Arial" w:hAnsi="Arial" w:cs="Arial"/>
          <w:color w:val="auto"/>
          <w:sz w:val="24"/>
          <w:szCs w:val="24"/>
          <w:lang w:eastAsia="ar-SA"/>
        </w:rPr>
        <w:t>рублей</w:t>
      </w:r>
      <w:r w:rsidRPr="002E5A60">
        <w:rPr>
          <w:rFonts w:ascii="Arial" w:hAnsi="Arial" w:cs="Arial"/>
          <w:sz w:val="24"/>
          <w:szCs w:val="24"/>
          <w:lang w:eastAsia="ar-SA"/>
        </w:rPr>
        <w:t>,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A342E" w:rsidRPr="002E5A60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2024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2025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прогнозной оценке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16224"/>
      </w:tblGrid>
      <w:tr w:rsidR="00417C5C" w:rsidRPr="000530CB" w:rsidTr="00056B92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154"/>
              <w:gridCol w:w="385"/>
              <w:gridCol w:w="304"/>
              <w:gridCol w:w="183"/>
              <w:gridCol w:w="528"/>
              <w:gridCol w:w="496"/>
              <w:gridCol w:w="574"/>
              <w:gridCol w:w="567"/>
              <w:gridCol w:w="1148"/>
              <w:gridCol w:w="125"/>
              <w:gridCol w:w="288"/>
              <w:gridCol w:w="1399"/>
              <w:gridCol w:w="597"/>
              <w:gridCol w:w="597"/>
              <w:gridCol w:w="597"/>
              <w:gridCol w:w="602"/>
              <w:gridCol w:w="602"/>
              <w:gridCol w:w="602"/>
              <w:gridCol w:w="611"/>
              <w:gridCol w:w="909"/>
              <w:gridCol w:w="845"/>
              <w:gridCol w:w="848"/>
              <w:gridCol w:w="778"/>
              <w:gridCol w:w="782"/>
            </w:tblGrid>
            <w:tr w:rsidR="00056B92" w:rsidRPr="007A2C4E" w:rsidTr="00056B92">
              <w:trPr>
                <w:trHeight w:val="1063"/>
              </w:trPr>
              <w:tc>
                <w:tcPr>
                  <w:tcW w:w="6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7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056B92" w:rsidRPr="007A2C4E" w:rsidTr="00056B92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3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7C5C" w:rsidRDefault="00190CFC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17C5C"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6B92" w:rsidRPr="007A2C4E" w:rsidTr="00056B92">
              <w:trPr>
                <w:cantSplit/>
                <w:trHeight w:val="1386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7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6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313" w:type="pct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CD7014" w:rsidRPr="007D78A9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 w:rsidR="00056B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056B92" w:rsidRPr="007A2C4E" w:rsidTr="00056B92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90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8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6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65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</w:tr>
            <w:tr w:rsidR="00417C5C" w:rsidRPr="007A2C4E" w:rsidTr="00056B92">
              <w:trPr>
                <w:trHeight w:val="450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6B6189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17C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8C24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772D73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65" w:type="pct"/>
                </w:tcPr>
                <w:p w:rsidR="00417C5C" w:rsidRPr="006B6189" w:rsidRDefault="00CD7014" w:rsidP="003C5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</w:t>
                  </w:r>
                  <w:r w:rsidR="003C521C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</w:tr>
            <w:tr w:rsidR="00417C5C" w:rsidRPr="007A2C4E" w:rsidTr="00056B92">
              <w:trPr>
                <w:trHeight w:val="71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056B92" w:rsidRPr="007A2C4E" w:rsidTr="00056B92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3C5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C521C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417C5C" w:rsidRPr="007A2C4E" w:rsidTr="00056B92">
              <w:trPr>
                <w:trHeight w:val="187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5" w:type="pct"/>
                </w:tcPr>
                <w:p w:rsidR="00417C5C" w:rsidRPr="006B6189" w:rsidRDefault="003C521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417C5C" w:rsidRPr="007A2C4E" w:rsidTr="00056B92">
              <w:trPr>
                <w:trHeight w:val="171"/>
              </w:trPr>
              <w:tc>
                <w:tcPr>
                  <w:tcW w:w="5000" w:type="pct"/>
                  <w:gridSpan w:val="25"/>
                </w:tcPr>
                <w:p w:rsidR="00417C5C" w:rsidRPr="006B6189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Повышение качества издания газеты и осуществление издательской деятельности </w:t>
                  </w:r>
                </w:p>
              </w:tc>
            </w:tr>
            <w:tr w:rsidR="00056B92" w:rsidRPr="007A2C4E" w:rsidTr="00056B92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036"/>
        <w:gridCol w:w="686"/>
        <w:gridCol w:w="556"/>
        <w:gridCol w:w="449"/>
        <w:gridCol w:w="449"/>
        <w:gridCol w:w="449"/>
        <w:gridCol w:w="449"/>
        <w:gridCol w:w="449"/>
        <w:gridCol w:w="449"/>
        <w:gridCol w:w="596"/>
        <w:gridCol w:w="707"/>
        <w:gridCol w:w="707"/>
        <w:gridCol w:w="707"/>
        <w:gridCol w:w="1166"/>
        <w:gridCol w:w="1166"/>
        <w:gridCol w:w="684"/>
        <w:gridCol w:w="684"/>
        <w:gridCol w:w="684"/>
        <w:gridCol w:w="684"/>
        <w:gridCol w:w="342"/>
        <w:gridCol w:w="342"/>
        <w:gridCol w:w="684"/>
      </w:tblGrid>
      <w:tr w:rsidR="00A14287" w:rsidRPr="000530CB" w:rsidTr="00A14287">
        <w:trPr>
          <w:trHeight w:val="2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14287" w:rsidRPr="000530CB" w:rsidTr="004D23ED">
        <w:trPr>
          <w:trHeight w:val="1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14287" w:rsidRPr="001678F9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4287" w:rsidRPr="000530CB" w:rsidTr="00A14287">
        <w:trPr>
          <w:cantSplit/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4287" w:rsidRPr="000530CB" w:rsidTr="002C306A">
        <w:trPr>
          <w:gridAfter w:val="2"/>
          <w:trHeight w:val="523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14287" w:rsidRPr="000530CB" w:rsidTr="004D23ED">
        <w:trPr>
          <w:cantSplit/>
          <w:trHeight w:val="10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3C521C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 w:rsidR="003C521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BBC" w:rsidRPr="000530CB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B66BBC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B66BBC" w:rsidRDefault="00B66BBC" w:rsidP="00B66B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B66BBC" w:rsidRPr="000530CB" w:rsidRDefault="00B66BBC" w:rsidP="00B66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06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6"/>
        <w:gridCol w:w="1959"/>
        <w:gridCol w:w="1819"/>
        <w:gridCol w:w="837"/>
        <w:gridCol w:w="697"/>
        <w:gridCol w:w="1397"/>
        <w:gridCol w:w="706"/>
        <w:gridCol w:w="1537"/>
        <w:gridCol w:w="1537"/>
        <w:gridCol w:w="1537"/>
        <w:gridCol w:w="1681"/>
      </w:tblGrid>
      <w:tr w:rsidR="00B66BBC" w:rsidRPr="000530CB" w:rsidTr="00D4382A">
        <w:trPr>
          <w:trHeight w:val="614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отдельного мероприятия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B66BBC" w:rsidRPr="000530CB" w:rsidTr="00D4382A">
        <w:trPr>
          <w:trHeight w:val="2059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D4382A" w:rsidRPr="000530CB" w:rsidTr="00D4382A">
        <w:trPr>
          <w:trHeight w:val="452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D4382A" w:rsidRPr="008A46DB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4382A" w:rsidRPr="001D6947" w:rsidRDefault="00D4382A" w:rsidP="00E802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8A271A" w:rsidP="008A271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6 439 637,78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8A271A" w:rsidP="008A2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18 998 596,42</w:t>
            </w:r>
          </w:p>
        </w:tc>
      </w:tr>
      <w:tr w:rsidR="00D4382A" w:rsidRPr="000530CB" w:rsidTr="00D4382A">
        <w:trPr>
          <w:trHeight w:val="322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4B6E">
              <w:rPr>
                <w:rFonts w:ascii="Arial" w:hAnsi="Arial" w:cs="Arial"/>
                <w:sz w:val="20"/>
                <w:szCs w:val="20"/>
              </w:rPr>
              <w:t>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3 77</w:t>
            </w:r>
            <w:r w:rsidR="008410A0"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5 705,17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11 </w:t>
            </w:r>
            <w:r w:rsidR="008410A0"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081 096,37</w:t>
            </w:r>
          </w:p>
        </w:tc>
      </w:tr>
      <w:tr w:rsidR="00D4382A" w:rsidRPr="000530CB" w:rsidTr="00D4382A">
        <w:trPr>
          <w:trHeight w:val="12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8410A0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7263</w:t>
            </w:r>
            <w:r w:rsidR="00D4382A"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,00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8410A0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7 263,00</w:t>
            </w:r>
          </w:p>
        </w:tc>
      </w:tr>
      <w:tr w:rsidR="00D4382A" w:rsidRPr="000530CB" w:rsidTr="00D4382A">
        <w:trPr>
          <w:trHeight w:val="35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410A0" w:rsidRPr="00701599">
              <w:rPr>
                <w:rFonts w:ascii="Arial" w:hAnsi="Arial" w:cs="Arial"/>
                <w:color w:val="auto"/>
                <w:sz w:val="20"/>
                <w:szCs w:val="20"/>
              </w:rPr>
              <w:t> 140 262,96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3 34</w:t>
            </w:r>
            <w:r w:rsidR="008410A0"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6 491,10</w:t>
            </w:r>
          </w:p>
        </w:tc>
      </w:tr>
      <w:tr w:rsidR="00D4382A" w:rsidRPr="000530CB" w:rsidTr="00D4382A">
        <w:trPr>
          <w:trHeight w:val="366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9921F0" w:rsidP="008410A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21F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921F0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21F0">
              <w:rPr>
                <w:rFonts w:ascii="Arial" w:hAnsi="Arial" w:cs="Arial"/>
                <w:color w:val="auto"/>
                <w:sz w:val="20"/>
                <w:szCs w:val="20"/>
              </w:rPr>
              <w:t>782,31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1 439 545,31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A432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4 3</w:t>
            </w:r>
            <w:r w:rsidR="00A432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06</w:t>
            </w:r>
            <w:r w:rsidR="008410A0"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  <w:r w:rsidR="00A432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  <w:r w:rsidR="008410A0"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72,93</w:t>
            </w:r>
          </w:p>
        </w:tc>
      </w:tr>
      <w:tr w:rsidR="00D4382A" w:rsidRPr="000530CB" w:rsidTr="00D4382A">
        <w:trPr>
          <w:trHeight w:val="31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9921F0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21F0">
              <w:rPr>
                <w:rFonts w:ascii="Arial" w:hAnsi="Arial" w:cs="Arial"/>
                <w:color w:val="auto"/>
                <w:sz w:val="20"/>
                <w:szCs w:val="20"/>
              </w:rPr>
              <w:t>88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21F0">
              <w:rPr>
                <w:rFonts w:ascii="Arial" w:hAnsi="Arial" w:cs="Arial"/>
                <w:color w:val="auto"/>
                <w:sz w:val="20"/>
                <w:szCs w:val="20"/>
              </w:rPr>
              <w:t>624,34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A432EF" w:rsidP="00A432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256</w:t>
            </w:r>
            <w:r w:rsidR="00D4382A"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  <w:r w:rsidR="00D4382A"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73,02</w:t>
            </w:r>
          </w:p>
        </w:tc>
      </w:tr>
    </w:tbl>
    <w:p w:rsidR="00B66BBC" w:rsidRDefault="00B66BBC" w:rsidP="00B66BBC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13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A8697E" w:rsidRPr="00A8697E" w:rsidTr="00E80248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 xml:space="preserve">к Паспорту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7E" w:rsidRPr="00A8697E" w:rsidTr="00E80248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A8697E" w:rsidRPr="00A8697E" w:rsidTr="00E80248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A8697E" w:rsidRPr="00A8697E" w:rsidTr="00E80248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6 439 637,78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D438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18 998 596,42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697E" w:rsidRPr="00A8697E" w:rsidTr="00E80248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6 439 637,78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18 998 596,42</w:t>
            </w:r>
          </w:p>
        </w:tc>
      </w:tr>
      <w:tr w:rsidR="00A8697E" w:rsidRPr="00A8697E" w:rsidTr="00E80248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A8697E" w:rsidRPr="00A8697E" w:rsidRDefault="00A8697E" w:rsidP="00A8697E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78CF"/>
    <w:rsid w:val="00012466"/>
    <w:rsid w:val="00026936"/>
    <w:rsid w:val="000340D2"/>
    <w:rsid w:val="0003585C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59BE"/>
    <w:rsid w:val="00097864"/>
    <w:rsid w:val="000A0ABA"/>
    <w:rsid w:val="000A2F0D"/>
    <w:rsid w:val="000B3A87"/>
    <w:rsid w:val="000B4698"/>
    <w:rsid w:val="000C0BF6"/>
    <w:rsid w:val="000C10E5"/>
    <w:rsid w:val="000C4399"/>
    <w:rsid w:val="000E02FC"/>
    <w:rsid w:val="000E057A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90CFC"/>
    <w:rsid w:val="001918BC"/>
    <w:rsid w:val="00195E01"/>
    <w:rsid w:val="001B4D0C"/>
    <w:rsid w:val="001B52CC"/>
    <w:rsid w:val="001C16C5"/>
    <w:rsid w:val="001D0294"/>
    <w:rsid w:val="001D6947"/>
    <w:rsid w:val="001F58D4"/>
    <w:rsid w:val="00203C8F"/>
    <w:rsid w:val="00226878"/>
    <w:rsid w:val="00232518"/>
    <w:rsid w:val="00236CBF"/>
    <w:rsid w:val="00240632"/>
    <w:rsid w:val="0024338B"/>
    <w:rsid w:val="0024570C"/>
    <w:rsid w:val="00250D32"/>
    <w:rsid w:val="00257905"/>
    <w:rsid w:val="00263DAA"/>
    <w:rsid w:val="00274764"/>
    <w:rsid w:val="00277B8D"/>
    <w:rsid w:val="00286A45"/>
    <w:rsid w:val="00297A5D"/>
    <w:rsid w:val="002B2B51"/>
    <w:rsid w:val="002C04BB"/>
    <w:rsid w:val="002C306A"/>
    <w:rsid w:val="002C6A42"/>
    <w:rsid w:val="002D12FB"/>
    <w:rsid w:val="002D24B0"/>
    <w:rsid w:val="002D2CBA"/>
    <w:rsid w:val="002D59E4"/>
    <w:rsid w:val="002E5A60"/>
    <w:rsid w:val="002F1BD0"/>
    <w:rsid w:val="002F424A"/>
    <w:rsid w:val="002F7D13"/>
    <w:rsid w:val="00301E75"/>
    <w:rsid w:val="00306CCC"/>
    <w:rsid w:val="00315E31"/>
    <w:rsid w:val="00316553"/>
    <w:rsid w:val="00322888"/>
    <w:rsid w:val="00327D6F"/>
    <w:rsid w:val="0033069C"/>
    <w:rsid w:val="00332640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80510"/>
    <w:rsid w:val="00394F9B"/>
    <w:rsid w:val="003A31CB"/>
    <w:rsid w:val="003A756E"/>
    <w:rsid w:val="003B5F0D"/>
    <w:rsid w:val="003C271F"/>
    <w:rsid w:val="003C521C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4D57BE"/>
    <w:rsid w:val="00521975"/>
    <w:rsid w:val="00521DA1"/>
    <w:rsid w:val="00524CE0"/>
    <w:rsid w:val="0052620F"/>
    <w:rsid w:val="00541D97"/>
    <w:rsid w:val="00545200"/>
    <w:rsid w:val="00546951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68F9"/>
    <w:rsid w:val="006A17CF"/>
    <w:rsid w:val="006A1F94"/>
    <w:rsid w:val="006B6189"/>
    <w:rsid w:val="006C15E4"/>
    <w:rsid w:val="006D01B4"/>
    <w:rsid w:val="006D5AF9"/>
    <w:rsid w:val="006E25CE"/>
    <w:rsid w:val="006E5226"/>
    <w:rsid w:val="006F360E"/>
    <w:rsid w:val="00701599"/>
    <w:rsid w:val="007125BE"/>
    <w:rsid w:val="0072004A"/>
    <w:rsid w:val="007343AB"/>
    <w:rsid w:val="0074071B"/>
    <w:rsid w:val="00747709"/>
    <w:rsid w:val="00753ECC"/>
    <w:rsid w:val="00757FD6"/>
    <w:rsid w:val="00771A9A"/>
    <w:rsid w:val="00772D73"/>
    <w:rsid w:val="007963E6"/>
    <w:rsid w:val="007A2C4E"/>
    <w:rsid w:val="007C4B6E"/>
    <w:rsid w:val="007C7AFF"/>
    <w:rsid w:val="007D24E8"/>
    <w:rsid w:val="007D78A9"/>
    <w:rsid w:val="007E5394"/>
    <w:rsid w:val="007E6D26"/>
    <w:rsid w:val="007E7A34"/>
    <w:rsid w:val="007F0FE7"/>
    <w:rsid w:val="00805914"/>
    <w:rsid w:val="00814875"/>
    <w:rsid w:val="008157D3"/>
    <w:rsid w:val="00817906"/>
    <w:rsid w:val="008205EF"/>
    <w:rsid w:val="00821F2B"/>
    <w:rsid w:val="0082416A"/>
    <w:rsid w:val="008245BB"/>
    <w:rsid w:val="00832E05"/>
    <w:rsid w:val="00835BD7"/>
    <w:rsid w:val="008410A0"/>
    <w:rsid w:val="00844E60"/>
    <w:rsid w:val="0084726C"/>
    <w:rsid w:val="00851D2D"/>
    <w:rsid w:val="008A271A"/>
    <w:rsid w:val="008A46DB"/>
    <w:rsid w:val="008B2B97"/>
    <w:rsid w:val="008B3334"/>
    <w:rsid w:val="008B5166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8F71D1"/>
    <w:rsid w:val="009136BA"/>
    <w:rsid w:val="009161A7"/>
    <w:rsid w:val="00920436"/>
    <w:rsid w:val="0092462D"/>
    <w:rsid w:val="009262B9"/>
    <w:rsid w:val="00931FF8"/>
    <w:rsid w:val="00934469"/>
    <w:rsid w:val="00936DBA"/>
    <w:rsid w:val="009427C7"/>
    <w:rsid w:val="00947D58"/>
    <w:rsid w:val="00950DDB"/>
    <w:rsid w:val="00954E6E"/>
    <w:rsid w:val="00955EEE"/>
    <w:rsid w:val="00956A7F"/>
    <w:rsid w:val="0096480F"/>
    <w:rsid w:val="00967425"/>
    <w:rsid w:val="009679CC"/>
    <w:rsid w:val="009704DE"/>
    <w:rsid w:val="00984B92"/>
    <w:rsid w:val="00990A53"/>
    <w:rsid w:val="009921F0"/>
    <w:rsid w:val="0099390F"/>
    <w:rsid w:val="009B0546"/>
    <w:rsid w:val="009D0401"/>
    <w:rsid w:val="009D0DEF"/>
    <w:rsid w:val="009D5792"/>
    <w:rsid w:val="009E42A6"/>
    <w:rsid w:val="009E6C21"/>
    <w:rsid w:val="009E725E"/>
    <w:rsid w:val="009E74DB"/>
    <w:rsid w:val="009E75C3"/>
    <w:rsid w:val="00A05478"/>
    <w:rsid w:val="00A117FB"/>
    <w:rsid w:val="00A14287"/>
    <w:rsid w:val="00A14D7F"/>
    <w:rsid w:val="00A16050"/>
    <w:rsid w:val="00A273E9"/>
    <w:rsid w:val="00A349A0"/>
    <w:rsid w:val="00A403F7"/>
    <w:rsid w:val="00A41787"/>
    <w:rsid w:val="00A432EF"/>
    <w:rsid w:val="00A647DD"/>
    <w:rsid w:val="00A6757A"/>
    <w:rsid w:val="00A743DF"/>
    <w:rsid w:val="00A8697E"/>
    <w:rsid w:val="00A91C7E"/>
    <w:rsid w:val="00A936BE"/>
    <w:rsid w:val="00A96ACE"/>
    <w:rsid w:val="00AA1451"/>
    <w:rsid w:val="00AA1B72"/>
    <w:rsid w:val="00AA48A4"/>
    <w:rsid w:val="00AD0FCA"/>
    <w:rsid w:val="00AD45AA"/>
    <w:rsid w:val="00AD6C52"/>
    <w:rsid w:val="00AE261F"/>
    <w:rsid w:val="00AF0129"/>
    <w:rsid w:val="00AF5B09"/>
    <w:rsid w:val="00AF7F39"/>
    <w:rsid w:val="00B00867"/>
    <w:rsid w:val="00B2209A"/>
    <w:rsid w:val="00B3331A"/>
    <w:rsid w:val="00B50FA4"/>
    <w:rsid w:val="00B637FE"/>
    <w:rsid w:val="00B66BBC"/>
    <w:rsid w:val="00B73DEA"/>
    <w:rsid w:val="00B7594A"/>
    <w:rsid w:val="00B83EA4"/>
    <w:rsid w:val="00B85898"/>
    <w:rsid w:val="00B92417"/>
    <w:rsid w:val="00BA3A50"/>
    <w:rsid w:val="00BA7F7B"/>
    <w:rsid w:val="00BB0B5E"/>
    <w:rsid w:val="00BB3728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BF5C0C"/>
    <w:rsid w:val="00C04303"/>
    <w:rsid w:val="00C04F11"/>
    <w:rsid w:val="00C13A9C"/>
    <w:rsid w:val="00C22734"/>
    <w:rsid w:val="00C26DC1"/>
    <w:rsid w:val="00C35494"/>
    <w:rsid w:val="00C35CAC"/>
    <w:rsid w:val="00C41298"/>
    <w:rsid w:val="00C41E9C"/>
    <w:rsid w:val="00C43F40"/>
    <w:rsid w:val="00C47CB4"/>
    <w:rsid w:val="00C5058B"/>
    <w:rsid w:val="00C528AB"/>
    <w:rsid w:val="00C67753"/>
    <w:rsid w:val="00C748A9"/>
    <w:rsid w:val="00C74F99"/>
    <w:rsid w:val="00C77900"/>
    <w:rsid w:val="00C804AF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2A6B"/>
    <w:rsid w:val="00CE5522"/>
    <w:rsid w:val="00CF14C9"/>
    <w:rsid w:val="00D00379"/>
    <w:rsid w:val="00D065A6"/>
    <w:rsid w:val="00D111D9"/>
    <w:rsid w:val="00D16558"/>
    <w:rsid w:val="00D302EE"/>
    <w:rsid w:val="00D41AB6"/>
    <w:rsid w:val="00D4382A"/>
    <w:rsid w:val="00D53111"/>
    <w:rsid w:val="00D53566"/>
    <w:rsid w:val="00D73CCC"/>
    <w:rsid w:val="00DA10A1"/>
    <w:rsid w:val="00DA4A77"/>
    <w:rsid w:val="00DA707B"/>
    <w:rsid w:val="00DC3382"/>
    <w:rsid w:val="00DC71FA"/>
    <w:rsid w:val="00DC7E57"/>
    <w:rsid w:val="00DD2412"/>
    <w:rsid w:val="00DE58F3"/>
    <w:rsid w:val="00DF0E37"/>
    <w:rsid w:val="00DF421C"/>
    <w:rsid w:val="00E0158D"/>
    <w:rsid w:val="00E04DA8"/>
    <w:rsid w:val="00E15B94"/>
    <w:rsid w:val="00E17EB5"/>
    <w:rsid w:val="00E30C46"/>
    <w:rsid w:val="00E418F6"/>
    <w:rsid w:val="00E65432"/>
    <w:rsid w:val="00E7141B"/>
    <w:rsid w:val="00E72434"/>
    <w:rsid w:val="00E747AB"/>
    <w:rsid w:val="00E80248"/>
    <w:rsid w:val="00E8112A"/>
    <w:rsid w:val="00E8204B"/>
    <w:rsid w:val="00E852C1"/>
    <w:rsid w:val="00E95D8D"/>
    <w:rsid w:val="00EA342E"/>
    <w:rsid w:val="00EB27D3"/>
    <w:rsid w:val="00EB2A27"/>
    <w:rsid w:val="00EC194E"/>
    <w:rsid w:val="00ED178A"/>
    <w:rsid w:val="00ED7822"/>
    <w:rsid w:val="00EE3E51"/>
    <w:rsid w:val="00EE52B4"/>
    <w:rsid w:val="00EE688A"/>
    <w:rsid w:val="00EF040B"/>
    <w:rsid w:val="00EF2052"/>
    <w:rsid w:val="00EF2BDD"/>
    <w:rsid w:val="00EF4D63"/>
    <w:rsid w:val="00EF7C7D"/>
    <w:rsid w:val="00F02A3B"/>
    <w:rsid w:val="00F1370B"/>
    <w:rsid w:val="00F25D8E"/>
    <w:rsid w:val="00F27075"/>
    <w:rsid w:val="00F45FF7"/>
    <w:rsid w:val="00F54557"/>
    <w:rsid w:val="00F633BC"/>
    <w:rsid w:val="00F771BE"/>
    <w:rsid w:val="00F816AB"/>
    <w:rsid w:val="00F84014"/>
    <w:rsid w:val="00FA14FF"/>
    <w:rsid w:val="00FB17AB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306C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306C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4F91-F0C7-46C3-8627-7276C90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10374</TotalTime>
  <Pages>1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178</cp:revision>
  <cp:lastPrinted>2023-03-20T09:27:00Z</cp:lastPrinted>
  <dcterms:created xsi:type="dcterms:W3CDTF">2020-09-17T06:54:00Z</dcterms:created>
  <dcterms:modified xsi:type="dcterms:W3CDTF">2024-01-16T01:32:00Z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